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F" w:rsidRPr="0090281F" w:rsidRDefault="0090281F" w:rsidP="0090281F">
      <w:pPr>
        <w:rPr>
          <w:b/>
          <w:bCs/>
          <w:iCs/>
          <w:lang w:val="sk-SK"/>
        </w:rPr>
      </w:pPr>
      <w:r w:rsidRPr="0090281F">
        <w:rPr>
          <w:b/>
          <w:bCs/>
          <w:iCs/>
          <w:lang w:val="sk-SK"/>
        </w:rPr>
        <w:t>Limit skupiny XI, XJ Urológia, Gynekológia</w:t>
      </w:r>
    </w:p>
    <w:p w:rsidR="00AD3817" w:rsidRDefault="0090281F" w:rsidP="0090281F">
      <w:pPr>
        <w:rPr>
          <w:b/>
          <w:bCs/>
          <w:iCs/>
        </w:rPr>
      </w:pPr>
      <w:r w:rsidRPr="0090281F">
        <w:rPr>
          <w:b/>
          <w:bCs/>
          <w:iCs/>
        </w:rPr>
        <w:t>XI</w:t>
      </w:r>
      <w:r w:rsidR="00AD3817">
        <w:rPr>
          <w:b/>
          <w:bCs/>
          <w:iCs/>
        </w:rPr>
        <w:t xml:space="preserve"> </w:t>
      </w:r>
    </w:p>
    <w:p w:rsidR="0090281F" w:rsidRPr="0090281F" w:rsidRDefault="0090281F" w:rsidP="0090281F">
      <w:pPr>
        <w:rPr>
          <w:b/>
          <w:bCs/>
          <w:iCs/>
        </w:rPr>
      </w:pPr>
      <w:r w:rsidRPr="0090281F">
        <w:rPr>
          <w:b/>
          <w:bCs/>
          <w:iCs/>
        </w:rPr>
        <w:t>IMPLANTÁTY UROLOGICKÉ</w:t>
      </w:r>
    </w:p>
    <w:p w:rsidR="00AD3817" w:rsidRDefault="0090281F" w:rsidP="0090281F">
      <w:pPr>
        <w:rPr>
          <w:b/>
          <w:lang w:val="sk-SK"/>
        </w:rPr>
      </w:pPr>
      <w:r w:rsidRPr="00AD3817">
        <w:rPr>
          <w:b/>
          <w:lang w:val="sk-SK"/>
        </w:rPr>
        <w:t>XI</w:t>
      </w:r>
    </w:p>
    <w:p w:rsidR="0090281F" w:rsidRPr="00AD3817" w:rsidRDefault="0090281F" w:rsidP="0090281F">
      <w:pPr>
        <w:rPr>
          <w:b/>
          <w:lang w:val="sk-SK"/>
        </w:rPr>
      </w:pPr>
      <w:r w:rsidRPr="00AD3817">
        <w:rPr>
          <w:b/>
          <w:lang w:val="sk-SK"/>
        </w:rPr>
        <w:t xml:space="preserve">1.3.2 </w:t>
      </w:r>
      <w:proofErr w:type="spellStart"/>
      <w:r w:rsidRPr="00AD3817">
        <w:rPr>
          <w:b/>
          <w:lang w:val="sk-SK"/>
        </w:rPr>
        <w:t>Suburetrálne</w:t>
      </w:r>
      <w:proofErr w:type="spellEnd"/>
      <w:r w:rsidRPr="00AD3817">
        <w:rPr>
          <w:b/>
          <w:lang w:val="sk-SK"/>
        </w:rPr>
        <w:t xml:space="preserve"> plniace substancie ženské</w:t>
      </w:r>
    </w:p>
    <w:p w:rsidR="0090281F" w:rsidRPr="00C355CF" w:rsidRDefault="0090281F" w:rsidP="0090281F">
      <w:pPr>
        <w:rPr>
          <w:sz w:val="22"/>
          <w:u w:val="single"/>
        </w:rPr>
      </w:pPr>
      <w:r w:rsidRPr="00C355CF">
        <w:rPr>
          <w:sz w:val="22"/>
          <w:u w:val="single"/>
        </w:rPr>
        <w:t>INDIKÁCIE</w:t>
      </w:r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1. </w:t>
      </w:r>
      <w:proofErr w:type="spellStart"/>
      <w:proofErr w:type="gramStart"/>
      <w:r w:rsidRPr="00C355CF">
        <w:rPr>
          <w:sz w:val="22"/>
        </w:rPr>
        <w:t>zlyhanie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predchádzajúcej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chirurgickej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liečby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inkontinencie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moču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2. </w:t>
      </w:r>
      <w:proofErr w:type="spellStart"/>
      <w:proofErr w:type="gramStart"/>
      <w:r w:rsidRPr="00C355CF">
        <w:rPr>
          <w:sz w:val="22"/>
        </w:rPr>
        <w:t>plienkový</w:t>
      </w:r>
      <w:proofErr w:type="spellEnd"/>
      <w:proofErr w:type="gramEnd"/>
      <w:r w:rsidRPr="00C355CF">
        <w:rPr>
          <w:sz w:val="22"/>
        </w:rPr>
        <w:t xml:space="preserve"> test s </w:t>
      </w:r>
      <w:proofErr w:type="spellStart"/>
      <w:r w:rsidRPr="00C355CF">
        <w:rPr>
          <w:sz w:val="22"/>
        </w:rPr>
        <w:t>únikom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väčším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10  g</w:t>
      </w:r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3. </w:t>
      </w:r>
      <w:proofErr w:type="spellStart"/>
      <w:proofErr w:type="gramStart"/>
      <w:r w:rsidRPr="00C355CF">
        <w:rPr>
          <w:sz w:val="22"/>
        </w:rPr>
        <w:t>normálna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uroflowmetrická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krivka</w:t>
      </w:r>
      <w:proofErr w:type="spellEnd"/>
      <w:r w:rsidRPr="00C355CF">
        <w:rPr>
          <w:sz w:val="22"/>
        </w:rPr>
        <w:t xml:space="preserve"> s </w:t>
      </w:r>
      <w:proofErr w:type="spellStart"/>
      <w:r w:rsidRPr="00C355CF">
        <w:rPr>
          <w:sz w:val="22"/>
        </w:rPr>
        <w:t>maximálnym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prietokom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väčším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15 ml/s a </w:t>
      </w:r>
      <w:proofErr w:type="spellStart"/>
      <w:r w:rsidRPr="00C355CF">
        <w:rPr>
          <w:sz w:val="22"/>
        </w:rPr>
        <w:t>reziduálnym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menším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50 ml</w:t>
      </w:r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4. </w:t>
      </w:r>
      <w:proofErr w:type="spellStart"/>
      <w:proofErr w:type="gramStart"/>
      <w:r w:rsidRPr="00C355CF">
        <w:rPr>
          <w:sz w:val="22"/>
        </w:rPr>
        <w:t>zmiešaná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inkontinencia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moču</w:t>
      </w:r>
      <w:proofErr w:type="spellEnd"/>
      <w:r w:rsidRPr="00C355CF">
        <w:rPr>
          <w:sz w:val="22"/>
        </w:rPr>
        <w:t xml:space="preserve"> s </w:t>
      </w:r>
      <w:proofErr w:type="spellStart"/>
      <w:r w:rsidRPr="00C355CF">
        <w:rPr>
          <w:sz w:val="22"/>
        </w:rPr>
        <w:t>maximálnou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cystometrickou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kapacitou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väčšou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350 ml, s </w:t>
      </w:r>
      <w:proofErr w:type="spellStart"/>
      <w:r w:rsidRPr="00C355CF">
        <w:rPr>
          <w:sz w:val="22"/>
        </w:rPr>
        <w:t>normálnou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poddajnosťou</w:t>
      </w:r>
      <w:proofErr w:type="spell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stabilitou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steny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5. </w:t>
      </w:r>
      <w:proofErr w:type="spellStart"/>
      <w:proofErr w:type="gramStart"/>
      <w:r w:rsidRPr="00C355CF">
        <w:rPr>
          <w:sz w:val="22"/>
        </w:rPr>
        <w:t>tlakový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bod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úniku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menší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100 cm H20</w:t>
      </w:r>
    </w:p>
    <w:p w:rsidR="0090281F" w:rsidRPr="00C355CF" w:rsidRDefault="0090281F" w:rsidP="0090281F">
      <w:pPr>
        <w:rPr>
          <w:sz w:val="22"/>
          <w:u w:val="single"/>
        </w:rPr>
      </w:pPr>
    </w:p>
    <w:p w:rsidR="0090281F" w:rsidRPr="00C355CF" w:rsidRDefault="0090281F" w:rsidP="0090281F">
      <w:pPr>
        <w:rPr>
          <w:sz w:val="22"/>
          <w:u w:val="single"/>
        </w:rPr>
      </w:pPr>
      <w:r w:rsidRPr="00C355CF">
        <w:rPr>
          <w:sz w:val="22"/>
          <w:u w:val="single"/>
        </w:rPr>
        <w:t>KONTRAINDIKÁCIE</w:t>
      </w:r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1. </w:t>
      </w:r>
      <w:proofErr w:type="spellStart"/>
      <w:proofErr w:type="gramStart"/>
      <w:r w:rsidRPr="00C355CF">
        <w:rPr>
          <w:sz w:val="22"/>
        </w:rPr>
        <w:t>čistá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urgentná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inkontinencia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moču</w:t>
      </w:r>
      <w:proofErr w:type="spellEnd"/>
      <w:r w:rsidRPr="00C355CF">
        <w:rPr>
          <w:sz w:val="22"/>
        </w:rPr>
        <w:t xml:space="preserve"> s </w:t>
      </w:r>
      <w:proofErr w:type="spellStart"/>
      <w:r w:rsidRPr="00C355CF">
        <w:rPr>
          <w:sz w:val="22"/>
        </w:rPr>
        <w:t>urodynamickým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dôkazom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nestabilnej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kontrakcie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2. </w:t>
      </w:r>
      <w:proofErr w:type="spellStart"/>
      <w:proofErr w:type="gramStart"/>
      <w:r w:rsidRPr="00C355CF">
        <w:rPr>
          <w:sz w:val="22"/>
        </w:rPr>
        <w:t>zmiešaná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inkontinencia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moču</w:t>
      </w:r>
      <w:proofErr w:type="spellEnd"/>
      <w:r w:rsidRPr="00C355CF">
        <w:rPr>
          <w:sz w:val="22"/>
        </w:rPr>
        <w:t xml:space="preserve"> s </w:t>
      </w:r>
      <w:proofErr w:type="spellStart"/>
      <w:r w:rsidRPr="00C355CF">
        <w:rPr>
          <w:sz w:val="22"/>
        </w:rPr>
        <w:t>anamnesticky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prítomnou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prevahou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urgentnej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zložky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alebo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urodynamickým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dôkazom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nestabilného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3. </w:t>
      </w:r>
      <w:proofErr w:type="spellStart"/>
      <w:proofErr w:type="gramStart"/>
      <w:r w:rsidRPr="00C355CF">
        <w:rPr>
          <w:sz w:val="22"/>
        </w:rPr>
        <w:t>neurogénny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močový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cerebrálnej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alebo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spinálnej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lézii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traumatického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pôvodu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4. </w:t>
      </w:r>
      <w:proofErr w:type="spellStart"/>
      <w:proofErr w:type="gramStart"/>
      <w:r w:rsidRPr="00C355CF">
        <w:rPr>
          <w:sz w:val="22"/>
        </w:rPr>
        <w:t>neurogénny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močový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cerebrálnej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alebo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spinálnej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lézii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ako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traumatického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pôvodu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5. </w:t>
      </w:r>
      <w:proofErr w:type="gramStart"/>
      <w:r w:rsidRPr="00C355CF">
        <w:rPr>
          <w:sz w:val="22"/>
        </w:rPr>
        <w:t>strata</w:t>
      </w:r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kapacity</w:t>
      </w:r>
      <w:proofErr w:type="spell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normálnej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poddajnosti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steny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6. </w:t>
      </w:r>
      <w:proofErr w:type="spellStart"/>
      <w:proofErr w:type="gramStart"/>
      <w:r w:rsidRPr="00C355CF">
        <w:rPr>
          <w:sz w:val="22"/>
        </w:rPr>
        <w:t>subvezikálna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obštrukcia</w:t>
      </w:r>
      <w:proofErr w:type="spellEnd"/>
      <w:r w:rsidRPr="00C355CF">
        <w:rPr>
          <w:sz w:val="22"/>
        </w:rPr>
        <w:t xml:space="preserve"> </w:t>
      </w:r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7. </w:t>
      </w:r>
      <w:proofErr w:type="spellStart"/>
      <w:proofErr w:type="gramStart"/>
      <w:r w:rsidRPr="00C355CF">
        <w:rPr>
          <w:sz w:val="22"/>
        </w:rPr>
        <w:t>hematúria</w:t>
      </w:r>
      <w:proofErr w:type="spellEnd"/>
      <w:proofErr w:type="gram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recidivujúce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infekcie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močových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ciest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8. </w:t>
      </w:r>
      <w:proofErr w:type="spellStart"/>
      <w:proofErr w:type="gramStart"/>
      <w:r w:rsidRPr="00C355CF">
        <w:rPr>
          <w:sz w:val="22"/>
        </w:rPr>
        <w:t>fistuly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  <w:r w:rsidRPr="00C355CF">
        <w:rPr>
          <w:sz w:val="22"/>
        </w:rPr>
        <w:t xml:space="preserve"> s </w:t>
      </w:r>
      <w:proofErr w:type="spellStart"/>
      <w:r w:rsidRPr="00C355CF">
        <w:rPr>
          <w:sz w:val="22"/>
        </w:rPr>
        <w:t>okolitými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orgánmi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lastRenderedPageBreak/>
        <w:t xml:space="preserve">9. </w:t>
      </w:r>
      <w:proofErr w:type="spellStart"/>
      <w:proofErr w:type="gramStart"/>
      <w:r w:rsidRPr="00C355CF">
        <w:rPr>
          <w:sz w:val="22"/>
        </w:rPr>
        <w:t>nádorové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ochorenia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močových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ciest</w:t>
      </w:r>
      <w:proofErr w:type="spell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genitálu</w:t>
      </w:r>
      <w:proofErr w:type="spellEnd"/>
      <w:r w:rsidRPr="00C355CF">
        <w:rPr>
          <w:sz w:val="22"/>
        </w:rPr>
        <w:t xml:space="preserve">, </w:t>
      </w:r>
      <w:proofErr w:type="spellStart"/>
      <w:r w:rsidRPr="00C355CF">
        <w:rPr>
          <w:sz w:val="22"/>
        </w:rPr>
        <w:t>diseminované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nádorové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ochorenia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10. </w:t>
      </w:r>
      <w:proofErr w:type="spellStart"/>
      <w:proofErr w:type="gramStart"/>
      <w:r w:rsidRPr="00C355CF">
        <w:rPr>
          <w:sz w:val="22"/>
        </w:rPr>
        <w:t>stavy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rádioterapii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močového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mechúra</w:t>
      </w:r>
      <w:proofErr w:type="spellEnd"/>
      <w:r w:rsidRPr="00C355CF">
        <w:rPr>
          <w:sz w:val="22"/>
        </w:rPr>
        <w:t xml:space="preserve">, </w:t>
      </w:r>
      <w:proofErr w:type="spellStart"/>
      <w:r w:rsidRPr="00C355CF">
        <w:rPr>
          <w:sz w:val="22"/>
        </w:rPr>
        <w:t>uretry</w:t>
      </w:r>
      <w:proofErr w:type="spell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genitálu</w:t>
      </w:r>
      <w:proofErr w:type="spellEnd"/>
    </w:p>
    <w:p w:rsidR="0090281F" w:rsidRPr="00C355CF" w:rsidRDefault="0090281F" w:rsidP="0090281F">
      <w:pPr>
        <w:rPr>
          <w:sz w:val="22"/>
        </w:rPr>
      </w:pPr>
      <w:r w:rsidRPr="00C355CF">
        <w:rPr>
          <w:sz w:val="22"/>
        </w:rPr>
        <w:t xml:space="preserve">11. </w:t>
      </w:r>
      <w:proofErr w:type="spellStart"/>
      <w:proofErr w:type="gramStart"/>
      <w:r w:rsidRPr="00C355CF">
        <w:rPr>
          <w:sz w:val="22"/>
        </w:rPr>
        <w:t>predpokladaná</w:t>
      </w:r>
      <w:proofErr w:type="spellEnd"/>
      <w:proofErr w:type="gram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gravidita</w:t>
      </w:r>
      <w:proofErr w:type="spellEnd"/>
      <w:r w:rsidRPr="00C355CF">
        <w:rPr>
          <w:sz w:val="22"/>
        </w:rPr>
        <w:t xml:space="preserve"> v </w:t>
      </w:r>
      <w:proofErr w:type="spellStart"/>
      <w:r w:rsidRPr="00C355CF">
        <w:rPr>
          <w:sz w:val="22"/>
        </w:rPr>
        <w:t>budúcnosti</w:t>
      </w:r>
      <w:proofErr w:type="spellEnd"/>
      <w:r w:rsidRPr="00C355CF">
        <w:rPr>
          <w:sz w:val="22"/>
        </w:rPr>
        <w:t xml:space="preserve">, </w:t>
      </w:r>
      <w:proofErr w:type="spellStart"/>
      <w:r w:rsidRPr="00C355CF">
        <w:rPr>
          <w:sz w:val="22"/>
        </w:rPr>
        <w:t>koagulopatie</w:t>
      </w:r>
      <w:proofErr w:type="spellEnd"/>
      <w:r w:rsidRPr="00C355CF">
        <w:rPr>
          <w:sz w:val="22"/>
        </w:rPr>
        <w:t xml:space="preserve"> a </w:t>
      </w:r>
      <w:proofErr w:type="spellStart"/>
      <w:r w:rsidRPr="00C355CF">
        <w:rPr>
          <w:sz w:val="22"/>
        </w:rPr>
        <w:t>závažné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imunitné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poruchy</w:t>
      </w:r>
      <w:proofErr w:type="spellEnd"/>
      <w:r w:rsidRPr="00C355CF">
        <w:rPr>
          <w:sz w:val="22"/>
        </w:rPr>
        <w:t xml:space="preserve">, </w:t>
      </w:r>
      <w:proofErr w:type="spellStart"/>
      <w:r w:rsidRPr="00C355CF">
        <w:rPr>
          <w:sz w:val="22"/>
        </w:rPr>
        <w:t>alergie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na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aplikovanú</w:t>
      </w:r>
      <w:proofErr w:type="spellEnd"/>
      <w:r w:rsidRPr="00C355CF">
        <w:rPr>
          <w:sz w:val="22"/>
        </w:rPr>
        <w:t xml:space="preserve"> </w:t>
      </w:r>
      <w:proofErr w:type="spellStart"/>
      <w:r w:rsidRPr="00C355CF">
        <w:rPr>
          <w:sz w:val="22"/>
        </w:rPr>
        <w:t>látku</w:t>
      </w:r>
      <w:proofErr w:type="spellEnd"/>
    </w:p>
    <w:p w:rsidR="0090281F" w:rsidRPr="0090281F" w:rsidRDefault="0090281F" w:rsidP="0090281F">
      <w:pPr>
        <w:rPr>
          <w:lang w:val="sk-SK"/>
        </w:rPr>
      </w:pPr>
    </w:p>
    <w:p w:rsidR="00E34F85" w:rsidRDefault="00E34F85"/>
    <w:sectPr w:rsidR="00E34F85" w:rsidSect="00E3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FB7163"/>
    <w:rsid w:val="00514B69"/>
    <w:rsid w:val="006618F3"/>
    <w:rsid w:val="0090281F"/>
    <w:rsid w:val="00A735B2"/>
    <w:rsid w:val="00A85397"/>
    <w:rsid w:val="00A94A31"/>
    <w:rsid w:val="00AA6DA7"/>
    <w:rsid w:val="00AD3817"/>
    <w:rsid w:val="00AF7EA1"/>
    <w:rsid w:val="00E34F85"/>
    <w:rsid w:val="00F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DA7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6DA7"/>
    <w:pPr>
      <w:spacing w:before="40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A6DA7"/>
    <w:pPr>
      <w:spacing w:before="400"/>
      <w:outlineLvl w:val="1"/>
    </w:pPr>
    <w:rPr>
      <w:spacing w:val="15"/>
      <w:sz w:val="28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A6DA7"/>
    <w:pPr>
      <w:spacing w:before="300"/>
      <w:outlineLvl w:val="2"/>
    </w:pPr>
    <w:rPr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6DA7"/>
    <w:pPr>
      <w:spacing w:after="120"/>
      <w:outlineLvl w:val="3"/>
    </w:pPr>
    <w:rPr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6DA7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A6DA7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6DA7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6DA7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A6DA7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6DA7"/>
    <w:rPr>
      <w:rFonts w:ascii="Times New Roman" w:hAnsi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A6DA7"/>
    <w:rPr>
      <w:rFonts w:ascii="Times New Roman" w:hAnsi="Times New Roman"/>
      <w:spacing w:val="15"/>
      <w:sz w:val="28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AA6DA7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A6DA7"/>
    <w:rPr>
      <w:rFonts w:ascii="Times New Roman" w:hAnsi="Times New Roman"/>
      <w:spacing w:val="10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6D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6D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6D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A6DA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A6D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A6D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AA6D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A6DA7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AA6DA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A6DA7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AA6DA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AA6D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A6DA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A6DA7"/>
    <w:rPr>
      <w:rFonts w:asciiTheme="majorHAnsi" w:hAnsiTheme="majorHAnsi"/>
      <w:i/>
      <w:iCs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AA6DA7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A6D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A6D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AA6DA7"/>
    <w:rPr>
      <w:i/>
      <w:iCs/>
    </w:rPr>
  </w:style>
  <w:style w:type="character" w:styleId="Intenzvnezvraznenie">
    <w:name w:val="Intense Emphasis"/>
    <w:uiPriority w:val="21"/>
    <w:qFormat/>
    <w:rsid w:val="00AA6DA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AA6D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AA6D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AA6DA7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A6DA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AA6DA7"/>
    <w:rPr>
      <w:caps/>
      <w:spacing w:val="10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A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GYNDANYS s.r.o.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Tomáš Danys</dc:creator>
  <cp:lastModifiedBy>MUDr. Tomáš Danys</cp:lastModifiedBy>
  <cp:revision>2</cp:revision>
  <dcterms:created xsi:type="dcterms:W3CDTF">2016-10-16T18:09:00Z</dcterms:created>
  <dcterms:modified xsi:type="dcterms:W3CDTF">2016-10-16T18:15:00Z</dcterms:modified>
</cp:coreProperties>
</file>